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97E" w:rsidRPr="008B497E" w:rsidRDefault="008B497E" w:rsidP="008B497E">
      <w:pPr>
        <w:shd w:val="clear" w:color="auto" w:fill="FFFFFF"/>
        <w:spacing w:after="0" w:line="540" w:lineRule="atLeast"/>
        <w:ind w:left="225"/>
        <w:jc w:val="center"/>
        <w:outlineLvl w:val="0"/>
        <w:rPr>
          <w:rFonts w:eastAsia="Times New Roman" w:cstheme="minorHAnsi"/>
          <w:b/>
          <w:color w:val="8ABD4B"/>
          <w:kern w:val="36"/>
          <w:sz w:val="32"/>
          <w:szCs w:val="32"/>
        </w:rPr>
      </w:pPr>
      <w:r w:rsidRPr="008B497E">
        <w:rPr>
          <w:rFonts w:eastAsia="Times New Roman" w:cstheme="minorHAnsi"/>
          <w:b/>
          <w:color w:val="8ABD4B"/>
          <w:kern w:val="36"/>
          <w:sz w:val="32"/>
          <w:szCs w:val="32"/>
        </w:rPr>
        <w:t>Important announcement to physical shareholders</w:t>
      </w:r>
    </w:p>
    <w:p w:rsidR="008B497E" w:rsidRDefault="008B497E" w:rsidP="008B497E">
      <w:pPr>
        <w:shd w:val="clear" w:color="auto" w:fill="FFFFFF"/>
        <w:spacing w:after="0" w:line="240" w:lineRule="auto"/>
        <w:rPr>
          <w:rFonts w:eastAsia="Times New Roman" w:cstheme="minorHAnsi"/>
          <w:color w:val="333333"/>
          <w:sz w:val="24"/>
          <w:szCs w:val="24"/>
        </w:rPr>
      </w:pPr>
    </w:p>
    <w:p w:rsidR="008B497E" w:rsidRPr="008B497E" w:rsidRDefault="008B497E" w:rsidP="008B497E">
      <w:pPr>
        <w:shd w:val="clear" w:color="auto" w:fill="FFFFFF"/>
        <w:spacing w:after="0" w:line="240" w:lineRule="auto"/>
        <w:rPr>
          <w:rFonts w:eastAsia="Times New Roman" w:cstheme="minorHAnsi"/>
          <w:color w:val="333333"/>
          <w:sz w:val="24"/>
          <w:szCs w:val="24"/>
        </w:rPr>
      </w:pPr>
      <w:r w:rsidRPr="008B497E">
        <w:rPr>
          <w:rFonts w:eastAsia="Times New Roman" w:cstheme="minorHAnsi"/>
          <w:color w:val="333333"/>
          <w:sz w:val="24"/>
          <w:szCs w:val="24"/>
        </w:rPr>
        <w:t>Dear Shareholder</w:t>
      </w:r>
      <w:r>
        <w:rPr>
          <w:rFonts w:eastAsia="Times New Roman" w:cstheme="minorHAnsi"/>
          <w:color w:val="333333"/>
          <w:sz w:val="24"/>
          <w:szCs w:val="24"/>
        </w:rPr>
        <w:t>s</w:t>
      </w:r>
      <w:r w:rsidRPr="008B497E">
        <w:rPr>
          <w:rFonts w:eastAsia="Times New Roman" w:cstheme="minorHAnsi"/>
          <w:color w:val="333333"/>
          <w:sz w:val="24"/>
          <w:szCs w:val="24"/>
        </w:rPr>
        <w:t>,</w:t>
      </w:r>
    </w:p>
    <w:p w:rsidR="008B497E" w:rsidRPr="008B497E" w:rsidRDefault="008B497E" w:rsidP="008B497E">
      <w:pPr>
        <w:shd w:val="clear" w:color="auto" w:fill="FFFFFF"/>
        <w:spacing w:after="0" w:line="240" w:lineRule="auto"/>
        <w:rPr>
          <w:rFonts w:eastAsia="Times New Roman" w:cstheme="minorHAnsi"/>
          <w:color w:val="333333"/>
          <w:sz w:val="24"/>
          <w:szCs w:val="24"/>
        </w:rPr>
      </w:pPr>
      <w:r w:rsidRPr="008B497E">
        <w:rPr>
          <w:rFonts w:eastAsia="Times New Roman" w:cstheme="minorHAnsi"/>
          <w:color w:val="333333"/>
          <w:sz w:val="24"/>
          <w:szCs w:val="24"/>
        </w:rPr>
        <w:t> </w:t>
      </w:r>
    </w:p>
    <w:p w:rsidR="008B497E" w:rsidRPr="008B497E" w:rsidRDefault="008B497E" w:rsidP="008B497E">
      <w:pPr>
        <w:shd w:val="clear" w:color="auto" w:fill="FFFFFF"/>
        <w:spacing w:after="0" w:line="240" w:lineRule="auto"/>
        <w:jc w:val="both"/>
        <w:rPr>
          <w:rFonts w:eastAsia="Times New Roman" w:cstheme="minorHAnsi"/>
          <w:color w:val="333333"/>
          <w:sz w:val="24"/>
          <w:szCs w:val="24"/>
        </w:rPr>
      </w:pPr>
      <w:r w:rsidRPr="008B497E">
        <w:rPr>
          <w:rFonts w:eastAsia="Times New Roman" w:cstheme="minorHAnsi"/>
          <w:color w:val="333333"/>
          <w:sz w:val="24"/>
          <w:szCs w:val="24"/>
        </w:rPr>
        <w:t>Securities and Exchange Board of India (SEBI) vide Circular dated November 3, 2021, has made it mandatory for the holders of physical securities to furnish PAN, KYC details and details of nomination on or before</w:t>
      </w:r>
      <w:r w:rsidRPr="008B497E">
        <w:rPr>
          <w:rFonts w:eastAsia="Times New Roman" w:cstheme="minorHAnsi"/>
          <w:b/>
          <w:bCs/>
          <w:color w:val="333333"/>
          <w:sz w:val="24"/>
          <w:szCs w:val="24"/>
        </w:rPr>
        <w:t> April 1, 2023 </w:t>
      </w:r>
      <w:r w:rsidRPr="008B497E">
        <w:rPr>
          <w:rFonts w:eastAsia="Times New Roman" w:cstheme="minorHAnsi"/>
          <w:color w:val="333333"/>
          <w:sz w:val="24"/>
          <w:szCs w:val="24"/>
        </w:rPr>
        <w:t>to the RTA (Registrar and Share Transfer Agents) of the Company in respect of all concerned Folios.  Folios wherein any of the above document(s)/details are not furnished on or before the said date, shall be frozen by the RTA. After </w:t>
      </w:r>
      <w:r w:rsidRPr="008B497E">
        <w:rPr>
          <w:rFonts w:eastAsia="Times New Roman" w:cstheme="minorHAnsi"/>
          <w:b/>
          <w:bCs/>
          <w:color w:val="333333"/>
          <w:sz w:val="24"/>
          <w:szCs w:val="24"/>
        </w:rPr>
        <w:t>December 31, 2025</w:t>
      </w:r>
      <w:r w:rsidRPr="008B497E">
        <w:rPr>
          <w:rFonts w:eastAsia="Times New Roman" w:cstheme="minorHAnsi"/>
          <w:color w:val="333333"/>
          <w:sz w:val="24"/>
          <w:szCs w:val="24"/>
        </w:rPr>
        <w:t xml:space="preserve"> the frozen folios shall be referred by the RTA/ Company to the administering authority under the </w:t>
      </w:r>
      <w:proofErr w:type="spellStart"/>
      <w:r w:rsidRPr="008B497E">
        <w:rPr>
          <w:rFonts w:eastAsia="Times New Roman" w:cstheme="minorHAnsi"/>
          <w:color w:val="333333"/>
          <w:sz w:val="24"/>
          <w:szCs w:val="24"/>
        </w:rPr>
        <w:t>Benami</w:t>
      </w:r>
      <w:proofErr w:type="spellEnd"/>
      <w:r w:rsidRPr="008B497E">
        <w:rPr>
          <w:rFonts w:eastAsia="Times New Roman" w:cstheme="minorHAnsi"/>
          <w:color w:val="333333"/>
          <w:sz w:val="24"/>
          <w:szCs w:val="24"/>
        </w:rPr>
        <w:t xml:space="preserve"> Transactions (Prohibitions) Act, 1988 and or Prevention of Money Laundering Act, 2002. </w:t>
      </w:r>
    </w:p>
    <w:p w:rsidR="008B497E" w:rsidRPr="008B497E" w:rsidRDefault="008B497E" w:rsidP="008B497E">
      <w:pPr>
        <w:shd w:val="clear" w:color="auto" w:fill="FFFFFF"/>
        <w:spacing w:after="0" w:line="240" w:lineRule="auto"/>
        <w:rPr>
          <w:rFonts w:eastAsia="Times New Roman" w:cstheme="minorHAnsi"/>
          <w:color w:val="333333"/>
          <w:sz w:val="24"/>
          <w:szCs w:val="24"/>
        </w:rPr>
      </w:pPr>
      <w:r w:rsidRPr="008B497E">
        <w:rPr>
          <w:rFonts w:eastAsia="Times New Roman" w:cstheme="minorHAnsi"/>
          <w:color w:val="333333"/>
          <w:sz w:val="24"/>
          <w:szCs w:val="24"/>
        </w:rPr>
        <w:t> </w:t>
      </w:r>
    </w:p>
    <w:p w:rsidR="008B497E" w:rsidRPr="008B497E" w:rsidRDefault="008B497E" w:rsidP="008B497E">
      <w:pPr>
        <w:shd w:val="clear" w:color="auto" w:fill="FFFFFF"/>
        <w:spacing w:after="0" w:line="240" w:lineRule="auto"/>
        <w:jc w:val="both"/>
        <w:rPr>
          <w:rFonts w:eastAsia="Times New Roman" w:cstheme="minorHAnsi"/>
          <w:color w:val="333333"/>
          <w:sz w:val="24"/>
          <w:szCs w:val="24"/>
        </w:rPr>
      </w:pPr>
      <w:r w:rsidRPr="008B497E">
        <w:rPr>
          <w:rFonts w:eastAsia="Times New Roman" w:cstheme="minorHAnsi"/>
          <w:color w:val="333333"/>
          <w:sz w:val="24"/>
          <w:szCs w:val="24"/>
        </w:rPr>
        <w:t>Further, the holders of physical securities are requested to ensure that </w:t>
      </w:r>
      <w:r w:rsidRPr="008B497E">
        <w:rPr>
          <w:rFonts w:eastAsia="Times New Roman" w:cstheme="minorHAnsi"/>
          <w:b/>
          <w:bCs/>
          <w:color w:val="333333"/>
          <w:sz w:val="24"/>
          <w:szCs w:val="24"/>
        </w:rPr>
        <w:t>their PAN is </w:t>
      </w:r>
      <w:r w:rsidRPr="008B497E">
        <w:rPr>
          <w:rFonts w:eastAsia="Times New Roman" w:cstheme="minorHAnsi"/>
          <w:color w:val="333333"/>
          <w:sz w:val="24"/>
          <w:szCs w:val="24"/>
        </w:rPr>
        <w:t xml:space="preserve">linked to </w:t>
      </w:r>
      <w:proofErr w:type="spellStart"/>
      <w:r w:rsidRPr="008B497E">
        <w:rPr>
          <w:rFonts w:eastAsia="Times New Roman" w:cstheme="minorHAnsi"/>
          <w:color w:val="333333"/>
          <w:sz w:val="24"/>
          <w:szCs w:val="24"/>
        </w:rPr>
        <w:t>Aadhaar</w:t>
      </w:r>
      <w:proofErr w:type="spellEnd"/>
      <w:r w:rsidRPr="008B497E">
        <w:rPr>
          <w:rFonts w:eastAsia="Times New Roman" w:cstheme="minorHAnsi"/>
          <w:color w:val="333333"/>
          <w:sz w:val="24"/>
          <w:szCs w:val="24"/>
        </w:rPr>
        <w:t xml:space="preserve"> by</w:t>
      </w:r>
      <w:r w:rsidRPr="008B497E">
        <w:rPr>
          <w:rFonts w:eastAsia="Times New Roman" w:cstheme="minorHAnsi"/>
          <w:b/>
          <w:bCs/>
          <w:color w:val="333333"/>
          <w:sz w:val="24"/>
          <w:szCs w:val="24"/>
        </w:rPr>
        <w:t> March 31, 2022</w:t>
      </w:r>
      <w:r w:rsidRPr="008B497E">
        <w:rPr>
          <w:rFonts w:eastAsia="Times New Roman" w:cstheme="minorHAnsi"/>
          <w:color w:val="333333"/>
          <w:sz w:val="24"/>
          <w:szCs w:val="24"/>
        </w:rPr>
        <w:t>, or any other date as may be specified by the Central Board of Direct Taxes to avoid freezing of folio.</w:t>
      </w:r>
    </w:p>
    <w:p w:rsidR="008B497E" w:rsidRPr="008B497E" w:rsidRDefault="008B497E" w:rsidP="008B497E">
      <w:pPr>
        <w:shd w:val="clear" w:color="auto" w:fill="FFFFFF"/>
        <w:spacing w:after="0" w:line="240" w:lineRule="auto"/>
        <w:rPr>
          <w:rFonts w:eastAsia="Times New Roman" w:cstheme="minorHAnsi"/>
          <w:color w:val="333333"/>
          <w:sz w:val="24"/>
          <w:szCs w:val="24"/>
        </w:rPr>
      </w:pPr>
      <w:r w:rsidRPr="008B497E">
        <w:rPr>
          <w:rFonts w:eastAsia="Times New Roman" w:cstheme="minorHAnsi"/>
          <w:color w:val="333333"/>
          <w:sz w:val="24"/>
          <w:szCs w:val="24"/>
        </w:rPr>
        <w:t> </w:t>
      </w:r>
    </w:p>
    <w:p w:rsidR="008B497E" w:rsidRPr="008B497E" w:rsidRDefault="008B497E" w:rsidP="008B497E">
      <w:pPr>
        <w:shd w:val="clear" w:color="auto" w:fill="FFFFFF"/>
        <w:spacing w:after="0" w:line="240" w:lineRule="auto"/>
        <w:jc w:val="both"/>
        <w:rPr>
          <w:rFonts w:eastAsia="Times New Roman" w:cstheme="minorHAnsi"/>
          <w:color w:val="333333"/>
          <w:sz w:val="24"/>
          <w:szCs w:val="24"/>
        </w:rPr>
      </w:pPr>
      <w:r w:rsidRPr="008B497E">
        <w:rPr>
          <w:rFonts w:eastAsia="Times New Roman" w:cstheme="minorHAnsi"/>
          <w:color w:val="333333"/>
          <w:sz w:val="24"/>
          <w:szCs w:val="24"/>
        </w:rPr>
        <w:t xml:space="preserve">Further </w:t>
      </w:r>
      <w:proofErr w:type="spellStart"/>
      <w:r w:rsidRPr="008B497E">
        <w:rPr>
          <w:rFonts w:eastAsia="Times New Roman" w:cstheme="minorHAnsi"/>
          <w:color w:val="333333"/>
          <w:sz w:val="24"/>
          <w:szCs w:val="24"/>
        </w:rPr>
        <w:t>w.e.f</w:t>
      </w:r>
      <w:proofErr w:type="spellEnd"/>
      <w:r>
        <w:rPr>
          <w:rFonts w:eastAsia="Times New Roman" w:cstheme="minorHAnsi"/>
          <w:color w:val="333333"/>
          <w:sz w:val="24"/>
          <w:szCs w:val="24"/>
        </w:rPr>
        <w:t xml:space="preserve">. </w:t>
      </w:r>
      <w:r w:rsidRPr="008B497E">
        <w:rPr>
          <w:rFonts w:eastAsia="Times New Roman" w:cstheme="minorHAnsi"/>
          <w:color w:val="333333"/>
          <w:sz w:val="24"/>
          <w:szCs w:val="24"/>
        </w:rPr>
        <w:t> </w:t>
      </w:r>
      <w:r w:rsidRPr="008B497E">
        <w:rPr>
          <w:rFonts w:eastAsia="Times New Roman" w:cstheme="minorHAnsi"/>
          <w:b/>
          <w:bCs/>
          <w:color w:val="333333"/>
          <w:sz w:val="24"/>
          <w:szCs w:val="24"/>
        </w:rPr>
        <w:t>January 01, 2022</w:t>
      </w:r>
      <w:r w:rsidRPr="008B497E">
        <w:rPr>
          <w:rFonts w:eastAsia="Times New Roman" w:cstheme="minorHAnsi"/>
          <w:color w:val="333333"/>
          <w:sz w:val="24"/>
          <w:szCs w:val="24"/>
        </w:rPr>
        <w:t> any service request shall be entertained by RTA only upon registration of the PAN, Bank Account details and Nomination.</w:t>
      </w:r>
    </w:p>
    <w:p w:rsidR="008B497E" w:rsidRPr="008B497E" w:rsidRDefault="008B497E" w:rsidP="008B497E">
      <w:pPr>
        <w:shd w:val="clear" w:color="auto" w:fill="FFFFFF"/>
        <w:spacing w:after="0" w:line="240" w:lineRule="auto"/>
        <w:rPr>
          <w:rFonts w:eastAsia="Times New Roman" w:cstheme="minorHAnsi"/>
          <w:color w:val="333333"/>
          <w:sz w:val="24"/>
          <w:szCs w:val="24"/>
        </w:rPr>
      </w:pPr>
      <w:r w:rsidRPr="008B497E">
        <w:rPr>
          <w:rFonts w:eastAsia="Times New Roman" w:cstheme="minorHAnsi"/>
          <w:color w:val="333333"/>
          <w:sz w:val="24"/>
          <w:szCs w:val="24"/>
        </w:rPr>
        <w:t> </w:t>
      </w:r>
    </w:p>
    <w:p w:rsidR="008B497E" w:rsidRPr="008B497E" w:rsidRDefault="008B497E" w:rsidP="008B497E">
      <w:pPr>
        <w:shd w:val="clear" w:color="auto" w:fill="FFFFFF"/>
        <w:spacing w:after="0" w:line="240" w:lineRule="auto"/>
        <w:jc w:val="both"/>
        <w:rPr>
          <w:rFonts w:eastAsia="Times New Roman" w:cstheme="minorHAnsi"/>
          <w:color w:val="333333"/>
          <w:sz w:val="24"/>
          <w:szCs w:val="24"/>
        </w:rPr>
      </w:pPr>
      <w:r w:rsidRPr="008B497E">
        <w:rPr>
          <w:rFonts w:eastAsia="Times New Roman" w:cstheme="minorHAnsi"/>
          <w:color w:val="333333"/>
          <w:sz w:val="24"/>
          <w:szCs w:val="24"/>
        </w:rPr>
        <w:t>Keeping the above statutory requirements in view, </w:t>
      </w:r>
      <w:r w:rsidRPr="008B497E">
        <w:rPr>
          <w:rFonts w:eastAsia="Times New Roman" w:cstheme="minorHAnsi"/>
          <w:b/>
          <w:bCs/>
          <w:color w:val="333333"/>
          <w:sz w:val="24"/>
          <w:szCs w:val="24"/>
        </w:rPr>
        <w:t>holders of the physical securities are requested to furnish valid PAN, KYC details and details of Nomination immediately to the Company/RTA </w:t>
      </w:r>
      <w:r w:rsidRPr="008B497E">
        <w:rPr>
          <w:rFonts w:eastAsia="Times New Roman" w:cstheme="minorHAnsi"/>
          <w:color w:val="333333"/>
          <w:sz w:val="24"/>
          <w:szCs w:val="24"/>
        </w:rPr>
        <w:t>by using the relevant forms as appended below, to ensure that, their folios are not frozen on or after 01.04.2023.</w:t>
      </w:r>
    </w:p>
    <w:p w:rsidR="008B497E" w:rsidRPr="008B497E" w:rsidRDefault="008B497E" w:rsidP="008B497E">
      <w:pPr>
        <w:shd w:val="clear" w:color="auto" w:fill="FFFFFF"/>
        <w:spacing w:after="0" w:line="240" w:lineRule="auto"/>
        <w:rPr>
          <w:rFonts w:eastAsia="Times New Roman" w:cstheme="minorHAnsi"/>
          <w:color w:val="333333"/>
          <w:sz w:val="24"/>
          <w:szCs w:val="24"/>
        </w:rPr>
      </w:pPr>
      <w:r w:rsidRPr="008B497E">
        <w:rPr>
          <w:rFonts w:eastAsia="Times New Roman" w:cstheme="minorHAnsi"/>
          <w:color w:val="333333"/>
          <w:sz w:val="24"/>
          <w:szCs w:val="24"/>
        </w:rPr>
        <w:t> </w:t>
      </w:r>
    </w:p>
    <w:p w:rsidR="008B497E" w:rsidRDefault="008B497E" w:rsidP="008B497E">
      <w:pPr>
        <w:shd w:val="clear" w:color="auto" w:fill="FFFFFF"/>
        <w:spacing w:after="0" w:line="240" w:lineRule="auto"/>
        <w:jc w:val="both"/>
        <w:rPr>
          <w:rFonts w:eastAsia="Times New Roman" w:cstheme="minorHAnsi"/>
          <w:color w:val="333333"/>
          <w:sz w:val="24"/>
          <w:szCs w:val="24"/>
        </w:rPr>
      </w:pPr>
      <w:r w:rsidRPr="008B497E">
        <w:rPr>
          <w:rFonts w:eastAsia="Times New Roman" w:cstheme="minorHAnsi"/>
          <w:color w:val="333333"/>
          <w:sz w:val="24"/>
          <w:szCs w:val="24"/>
        </w:rPr>
        <w:t>All holders of physical securities, who have not yet dematerialized their shares, are also advised to get their shares converted into electronic form (DEMAT)</w:t>
      </w:r>
    </w:p>
    <w:p w:rsidR="008B497E" w:rsidRDefault="008B497E" w:rsidP="008B497E">
      <w:pPr>
        <w:shd w:val="clear" w:color="auto" w:fill="FFFFFF"/>
        <w:spacing w:after="0" w:line="240" w:lineRule="auto"/>
        <w:jc w:val="both"/>
        <w:rPr>
          <w:rFonts w:eastAsia="Times New Roman" w:cstheme="minorHAnsi"/>
          <w:color w:val="333333"/>
          <w:sz w:val="24"/>
          <w:szCs w:val="24"/>
        </w:rPr>
      </w:pPr>
    </w:p>
    <w:tbl>
      <w:tblPr>
        <w:tblStyle w:val="TableGrid"/>
        <w:tblW w:w="0" w:type="auto"/>
        <w:tblLook w:val="04A0" w:firstRow="1" w:lastRow="0" w:firstColumn="1" w:lastColumn="0" w:noHBand="0" w:noVBand="1"/>
      </w:tblPr>
      <w:tblGrid>
        <w:gridCol w:w="846"/>
        <w:gridCol w:w="6095"/>
        <w:gridCol w:w="2409"/>
      </w:tblGrid>
      <w:tr w:rsidR="008B497E" w:rsidTr="008B497E">
        <w:tc>
          <w:tcPr>
            <w:tcW w:w="846" w:type="dxa"/>
          </w:tcPr>
          <w:p w:rsidR="008B497E" w:rsidRPr="008B497E" w:rsidRDefault="008B497E" w:rsidP="008B497E">
            <w:pPr>
              <w:jc w:val="both"/>
              <w:rPr>
                <w:rFonts w:eastAsia="Times New Roman" w:cstheme="minorHAnsi"/>
                <w:b/>
                <w:color w:val="333333"/>
                <w:sz w:val="24"/>
                <w:szCs w:val="24"/>
              </w:rPr>
            </w:pPr>
            <w:r w:rsidRPr="008B497E">
              <w:rPr>
                <w:rFonts w:eastAsia="Times New Roman" w:cstheme="minorHAnsi"/>
                <w:b/>
                <w:color w:val="333333"/>
                <w:sz w:val="24"/>
                <w:szCs w:val="24"/>
              </w:rPr>
              <w:t>Sr. No.</w:t>
            </w:r>
          </w:p>
        </w:tc>
        <w:tc>
          <w:tcPr>
            <w:tcW w:w="6095" w:type="dxa"/>
          </w:tcPr>
          <w:p w:rsidR="008B497E" w:rsidRPr="008B497E" w:rsidRDefault="008B497E" w:rsidP="008B497E">
            <w:pPr>
              <w:jc w:val="both"/>
              <w:rPr>
                <w:rFonts w:eastAsia="Times New Roman" w:cstheme="minorHAnsi"/>
                <w:b/>
                <w:color w:val="333333"/>
                <w:sz w:val="24"/>
                <w:szCs w:val="24"/>
              </w:rPr>
            </w:pPr>
            <w:r w:rsidRPr="008B497E">
              <w:rPr>
                <w:rFonts w:eastAsia="Times New Roman" w:cstheme="minorHAnsi"/>
                <w:b/>
                <w:color w:val="333333"/>
                <w:sz w:val="24"/>
                <w:szCs w:val="24"/>
              </w:rPr>
              <w:t>Particulars Form details</w:t>
            </w:r>
          </w:p>
        </w:tc>
        <w:tc>
          <w:tcPr>
            <w:tcW w:w="2409" w:type="dxa"/>
          </w:tcPr>
          <w:p w:rsidR="008B497E" w:rsidRPr="008B497E" w:rsidRDefault="008B497E" w:rsidP="008B497E">
            <w:pPr>
              <w:jc w:val="both"/>
              <w:rPr>
                <w:rFonts w:eastAsia="Times New Roman" w:cstheme="minorHAnsi"/>
                <w:b/>
                <w:color w:val="333333"/>
                <w:sz w:val="24"/>
                <w:szCs w:val="24"/>
              </w:rPr>
            </w:pPr>
            <w:r w:rsidRPr="008B497E">
              <w:rPr>
                <w:rFonts w:eastAsia="Times New Roman" w:cstheme="minorHAnsi"/>
                <w:b/>
                <w:color w:val="333333"/>
                <w:sz w:val="24"/>
                <w:szCs w:val="24"/>
              </w:rPr>
              <w:t>Form-</w:t>
            </w:r>
            <w:proofErr w:type="spellStart"/>
            <w:r w:rsidRPr="008B497E">
              <w:rPr>
                <w:rFonts w:eastAsia="Times New Roman" w:cstheme="minorHAnsi"/>
                <w:b/>
                <w:color w:val="333333"/>
                <w:sz w:val="24"/>
                <w:szCs w:val="24"/>
              </w:rPr>
              <w:t>Weblink</w:t>
            </w:r>
            <w:proofErr w:type="spellEnd"/>
          </w:p>
        </w:tc>
      </w:tr>
      <w:tr w:rsidR="008B497E" w:rsidTr="008B497E">
        <w:tc>
          <w:tcPr>
            <w:tcW w:w="846" w:type="dxa"/>
          </w:tcPr>
          <w:p w:rsidR="008B497E" w:rsidRDefault="008B497E" w:rsidP="008B497E">
            <w:pPr>
              <w:jc w:val="both"/>
              <w:rPr>
                <w:rFonts w:eastAsia="Times New Roman" w:cstheme="minorHAnsi"/>
                <w:color w:val="333333"/>
                <w:sz w:val="24"/>
                <w:szCs w:val="24"/>
              </w:rPr>
            </w:pPr>
            <w:r>
              <w:rPr>
                <w:rFonts w:eastAsia="Times New Roman" w:cstheme="minorHAnsi"/>
                <w:color w:val="333333"/>
                <w:sz w:val="24"/>
                <w:szCs w:val="24"/>
              </w:rPr>
              <w:t>1</w:t>
            </w:r>
          </w:p>
        </w:tc>
        <w:tc>
          <w:tcPr>
            <w:tcW w:w="6095" w:type="dxa"/>
          </w:tcPr>
          <w:p w:rsidR="008B497E" w:rsidRDefault="008B497E" w:rsidP="008B497E">
            <w:pPr>
              <w:jc w:val="both"/>
              <w:rPr>
                <w:rFonts w:eastAsia="Times New Roman" w:cstheme="minorHAnsi"/>
                <w:color w:val="333333"/>
                <w:sz w:val="24"/>
                <w:szCs w:val="24"/>
              </w:rPr>
            </w:pPr>
            <w:r w:rsidRPr="008B497E">
              <w:rPr>
                <w:rFonts w:eastAsia="Times New Roman" w:cstheme="minorHAnsi"/>
                <w:color w:val="333333"/>
                <w:sz w:val="24"/>
                <w:szCs w:val="24"/>
              </w:rPr>
              <w:t xml:space="preserve">Request for registering PAN, KYC details or changes / </w:t>
            </w:r>
            <w:proofErr w:type="spellStart"/>
            <w:r w:rsidRPr="008B497E">
              <w:rPr>
                <w:rFonts w:eastAsia="Times New Roman" w:cstheme="minorHAnsi"/>
                <w:color w:val="333333"/>
                <w:sz w:val="24"/>
                <w:szCs w:val="24"/>
              </w:rPr>
              <w:t>updation</w:t>
            </w:r>
            <w:proofErr w:type="spellEnd"/>
            <w:r w:rsidRPr="008B497E">
              <w:rPr>
                <w:rFonts w:eastAsia="Times New Roman" w:cstheme="minorHAnsi"/>
                <w:color w:val="333333"/>
                <w:sz w:val="24"/>
                <w:szCs w:val="24"/>
              </w:rPr>
              <w:t xml:space="preserve"> thereof</w:t>
            </w:r>
          </w:p>
        </w:tc>
        <w:tc>
          <w:tcPr>
            <w:tcW w:w="2409" w:type="dxa"/>
          </w:tcPr>
          <w:p w:rsidR="008B497E" w:rsidRDefault="008B497E" w:rsidP="008B497E">
            <w:pPr>
              <w:jc w:val="both"/>
              <w:rPr>
                <w:rFonts w:eastAsia="Times New Roman" w:cstheme="minorHAnsi"/>
                <w:color w:val="333333"/>
                <w:sz w:val="24"/>
                <w:szCs w:val="24"/>
              </w:rPr>
            </w:pPr>
            <w:r w:rsidRPr="008B497E">
              <w:rPr>
                <w:rFonts w:eastAsia="Times New Roman" w:cstheme="minorHAnsi"/>
                <w:color w:val="333333"/>
                <w:sz w:val="24"/>
                <w:szCs w:val="24"/>
              </w:rPr>
              <w:t>ISR-1</w:t>
            </w:r>
          </w:p>
        </w:tc>
      </w:tr>
      <w:tr w:rsidR="008B497E" w:rsidTr="008B497E">
        <w:tc>
          <w:tcPr>
            <w:tcW w:w="846" w:type="dxa"/>
          </w:tcPr>
          <w:p w:rsidR="008B497E" w:rsidRDefault="008B497E" w:rsidP="008B497E">
            <w:pPr>
              <w:jc w:val="both"/>
              <w:rPr>
                <w:rFonts w:eastAsia="Times New Roman" w:cstheme="minorHAnsi"/>
                <w:color w:val="333333"/>
                <w:sz w:val="24"/>
                <w:szCs w:val="24"/>
              </w:rPr>
            </w:pPr>
            <w:r>
              <w:rPr>
                <w:rFonts w:eastAsia="Times New Roman" w:cstheme="minorHAnsi"/>
                <w:color w:val="333333"/>
                <w:sz w:val="24"/>
                <w:szCs w:val="24"/>
              </w:rPr>
              <w:t>2</w:t>
            </w:r>
          </w:p>
        </w:tc>
        <w:tc>
          <w:tcPr>
            <w:tcW w:w="6095" w:type="dxa"/>
          </w:tcPr>
          <w:p w:rsidR="008B497E" w:rsidRDefault="008B497E" w:rsidP="008B497E">
            <w:pPr>
              <w:jc w:val="both"/>
              <w:rPr>
                <w:rFonts w:eastAsia="Times New Roman" w:cstheme="minorHAnsi"/>
                <w:color w:val="333333"/>
                <w:sz w:val="24"/>
                <w:szCs w:val="24"/>
              </w:rPr>
            </w:pPr>
            <w:r w:rsidRPr="008B497E">
              <w:rPr>
                <w:rFonts w:eastAsia="Times New Roman" w:cstheme="minorHAnsi"/>
                <w:color w:val="333333"/>
                <w:sz w:val="24"/>
                <w:szCs w:val="24"/>
              </w:rPr>
              <w:t>Confirmation of signature of shareholder by the Banker (in case  of major mismatch in the signature of the shareholder)</w:t>
            </w:r>
          </w:p>
        </w:tc>
        <w:tc>
          <w:tcPr>
            <w:tcW w:w="2409" w:type="dxa"/>
          </w:tcPr>
          <w:p w:rsidR="008B497E" w:rsidRDefault="008B497E" w:rsidP="008B497E">
            <w:pPr>
              <w:jc w:val="both"/>
              <w:rPr>
                <w:rFonts w:eastAsia="Times New Roman" w:cstheme="minorHAnsi"/>
                <w:color w:val="333333"/>
                <w:sz w:val="24"/>
                <w:szCs w:val="24"/>
              </w:rPr>
            </w:pPr>
            <w:r>
              <w:rPr>
                <w:rFonts w:eastAsia="Times New Roman" w:cstheme="minorHAnsi"/>
                <w:color w:val="333333"/>
                <w:sz w:val="24"/>
                <w:szCs w:val="24"/>
              </w:rPr>
              <w:t>ISR-2</w:t>
            </w:r>
          </w:p>
        </w:tc>
      </w:tr>
      <w:tr w:rsidR="008B497E" w:rsidTr="008B497E">
        <w:tc>
          <w:tcPr>
            <w:tcW w:w="846" w:type="dxa"/>
          </w:tcPr>
          <w:p w:rsidR="008B497E" w:rsidRDefault="008B497E" w:rsidP="008B497E">
            <w:pPr>
              <w:jc w:val="both"/>
              <w:rPr>
                <w:rFonts w:eastAsia="Times New Roman" w:cstheme="minorHAnsi"/>
                <w:color w:val="333333"/>
                <w:sz w:val="24"/>
                <w:szCs w:val="24"/>
              </w:rPr>
            </w:pPr>
            <w:r>
              <w:rPr>
                <w:rFonts w:eastAsia="Times New Roman" w:cstheme="minorHAnsi"/>
                <w:color w:val="333333"/>
                <w:sz w:val="24"/>
                <w:szCs w:val="24"/>
              </w:rPr>
              <w:t>3</w:t>
            </w:r>
          </w:p>
        </w:tc>
        <w:tc>
          <w:tcPr>
            <w:tcW w:w="6095" w:type="dxa"/>
          </w:tcPr>
          <w:p w:rsidR="008B497E" w:rsidRDefault="008B497E" w:rsidP="008B497E">
            <w:pPr>
              <w:jc w:val="both"/>
              <w:rPr>
                <w:rFonts w:eastAsia="Times New Roman" w:cstheme="minorHAnsi"/>
                <w:color w:val="333333"/>
                <w:sz w:val="24"/>
                <w:szCs w:val="24"/>
              </w:rPr>
            </w:pPr>
            <w:r w:rsidRPr="008B497E">
              <w:rPr>
                <w:rFonts w:eastAsia="Times New Roman" w:cstheme="minorHAnsi"/>
                <w:color w:val="333333"/>
                <w:sz w:val="24"/>
                <w:szCs w:val="24"/>
              </w:rPr>
              <w:t>Nomination Form</w:t>
            </w:r>
          </w:p>
        </w:tc>
        <w:tc>
          <w:tcPr>
            <w:tcW w:w="2409" w:type="dxa"/>
          </w:tcPr>
          <w:p w:rsidR="008B497E" w:rsidRDefault="00E53F1D" w:rsidP="008B497E">
            <w:pPr>
              <w:jc w:val="both"/>
              <w:rPr>
                <w:rFonts w:eastAsia="Times New Roman" w:cstheme="minorHAnsi"/>
                <w:color w:val="333333"/>
                <w:sz w:val="24"/>
                <w:szCs w:val="24"/>
              </w:rPr>
            </w:pPr>
            <w:r>
              <w:rPr>
                <w:rFonts w:eastAsia="Times New Roman" w:cstheme="minorHAnsi"/>
                <w:color w:val="333333"/>
                <w:sz w:val="24"/>
                <w:szCs w:val="24"/>
              </w:rPr>
              <w:t>SH</w:t>
            </w:r>
            <w:r w:rsidR="008B497E">
              <w:rPr>
                <w:rFonts w:eastAsia="Times New Roman" w:cstheme="minorHAnsi"/>
                <w:color w:val="333333"/>
                <w:sz w:val="24"/>
                <w:szCs w:val="24"/>
              </w:rPr>
              <w:t>-13</w:t>
            </w:r>
          </w:p>
        </w:tc>
      </w:tr>
      <w:tr w:rsidR="008B497E" w:rsidTr="008B497E">
        <w:tc>
          <w:tcPr>
            <w:tcW w:w="846" w:type="dxa"/>
          </w:tcPr>
          <w:p w:rsidR="008B497E" w:rsidRDefault="008B497E" w:rsidP="008B497E">
            <w:pPr>
              <w:jc w:val="both"/>
              <w:rPr>
                <w:rFonts w:eastAsia="Times New Roman" w:cstheme="minorHAnsi"/>
                <w:color w:val="333333"/>
                <w:sz w:val="24"/>
                <w:szCs w:val="24"/>
              </w:rPr>
            </w:pPr>
            <w:r>
              <w:rPr>
                <w:rFonts w:eastAsia="Times New Roman" w:cstheme="minorHAnsi"/>
                <w:color w:val="333333"/>
                <w:sz w:val="24"/>
                <w:szCs w:val="24"/>
              </w:rPr>
              <w:t>4</w:t>
            </w:r>
          </w:p>
        </w:tc>
        <w:tc>
          <w:tcPr>
            <w:tcW w:w="6095" w:type="dxa"/>
          </w:tcPr>
          <w:p w:rsidR="008B497E" w:rsidRDefault="008B497E" w:rsidP="008B497E">
            <w:pPr>
              <w:jc w:val="both"/>
              <w:rPr>
                <w:rFonts w:eastAsia="Times New Roman" w:cstheme="minorHAnsi"/>
                <w:color w:val="333333"/>
                <w:sz w:val="24"/>
                <w:szCs w:val="24"/>
              </w:rPr>
            </w:pPr>
            <w:r w:rsidRPr="008B497E">
              <w:rPr>
                <w:rFonts w:eastAsia="Times New Roman" w:cstheme="minorHAnsi"/>
                <w:color w:val="333333"/>
                <w:sz w:val="24"/>
                <w:szCs w:val="24"/>
              </w:rPr>
              <w:t>Cancellation or Variation of Nomination</w:t>
            </w:r>
          </w:p>
        </w:tc>
        <w:tc>
          <w:tcPr>
            <w:tcW w:w="2409" w:type="dxa"/>
          </w:tcPr>
          <w:p w:rsidR="008B497E" w:rsidRDefault="00E53F1D" w:rsidP="008B497E">
            <w:pPr>
              <w:jc w:val="both"/>
              <w:rPr>
                <w:rFonts w:eastAsia="Times New Roman" w:cstheme="minorHAnsi"/>
                <w:color w:val="333333"/>
                <w:sz w:val="24"/>
                <w:szCs w:val="24"/>
              </w:rPr>
            </w:pPr>
            <w:r>
              <w:rPr>
                <w:rFonts w:eastAsia="Times New Roman" w:cstheme="minorHAnsi"/>
                <w:color w:val="333333"/>
                <w:sz w:val="24"/>
                <w:szCs w:val="24"/>
              </w:rPr>
              <w:t>SH</w:t>
            </w:r>
            <w:r w:rsidR="008B497E">
              <w:rPr>
                <w:rFonts w:eastAsia="Times New Roman" w:cstheme="minorHAnsi"/>
                <w:color w:val="333333"/>
                <w:sz w:val="24"/>
                <w:szCs w:val="24"/>
              </w:rPr>
              <w:t>-14</w:t>
            </w:r>
          </w:p>
        </w:tc>
      </w:tr>
      <w:tr w:rsidR="008B497E" w:rsidTr="008B497E">
        <w:tc>
          <w:tcPr>
            <w:tcW w:w="846" w:type="dxa"/>
          </w:tcPr>
          <w:p w:rsidR="008B497E" w:rsidRDefault="008B497E" w:rsidP="008B497E">
            <w:pPr>
              <w:jc w:val="both"/>
              <w:rPr>
                <w:rFonts w:eastAsia="Times New Roman" w:cstheme="minorHAnsi"/>
                <w:color w:val="333333"/>
                <w:sz w:val="24"/>
                <w:szCs w:val="24"/>
              </w:rPr>
            </w:pPr>
            <w:r>
              <w:rPr>
                <w:rFonts w:eastAsia="Times New Roman" w:cstheme="minorHAnsi"/>
                <w:color w:val="333333"/>
                <w:sz w:val="24"/>
                <w:szCs w:val="24"/>
              </w:rPr>
              <w:t>5</w:t>
            </w:r>
          </w:p>
        </w:tc>
        <w:tc>
          <w:tcPr>
            <w:tcW w:w="6095" w:type="dxa"/>
          </w:tcPr>
          <w:p w:rsidR="008B497E" w:rsidRDefault="008B497E" w:rsidP="008B497E">
            <w:pPr>
              <w:jc w:val="both"/>
              <w:rPr>
                <w:rFonts w:eastAsia="Times New Roman" w:cstheme="minorHAnsi"/>
                <w:color w:val="333333"/>
                <w:sz w:val="24"/>
                <w:szCs w:val="24"/>
              </w:rPr>
            </w:pPr>
            <w:r w:rsidRPr="008B497E">
              <w:rPr>
                <w:rFonts w:eastAsia="Times New Roman" w:cstheme="minorHAnsi"/>
                <w:color w:val="333333"/>
                <w:sz w:val="24"/>
                <w:szCs w:val="24"/>
              </w:rPr>
              <w:t>Declaration form for opting out / cancellation of Nomination*</w:t>
            </w:r>
          </w:p>
        </w:tc>
        <w:tc>
          <w:tcPr>
            <w:tcW w:w="2409" w:type="dxa"/>
          </w:tcPr>
          <w:p w:rsidR="008B497E" w:rsidRDefault="008B497E" w:rsidP="008B497E">
            <w:pPr>
              <w:jc w:val="both"/>
              <w:rPr>
                <w:rFonts w:eastAsia="Times New Roman" w:cstheme="minorHAnsi"/>
                <w:color w:val="333333"/>
                <w:sz w:val="24"/>
                <w:szCs w:val="24"/>
              </w:rPr>
            </w:pPr>
            <w:r w:rsidRPr="008B497E">
              <w:rPr>
                <w:rFonts w:eastAsia="Times New Roman" w:cstheme="minorHAnsi"/>
                <w:color w:val="333333"/>
                <w:sz w:val="24"/>
                <w:szCs w:val="24"/>
              </w:rPr>
              <w:t>ISR-3</w:t>
            </w:r>
            <w:bookmarkStart w:id="0" w:name="_GoBack"/>
            <w:bookmarkEnd w:id="0"/>
          </w:p>
        </w:tc>
      </w:tr>
    </w:tbl>
    <w:p w:rsidR="008B497E" w:rsidRPr="008B497E" w:rsidRDefault="008B497E" w:rsidP="008B497E">
      <w:pPr>
        <w:shd w:val="clear" w:color="auto" w:fill="FFFFFF"/>
        <w:spacing w:after="0" w:line="240" w:lineRule="auto"/>
        <w:jc w:val="both"/>
        <w:rPr>
          <w:rFonts w:eastAsia="Times New Roman" w:cstheme="minorHAnsi"/>
          <w:color w:val="333333"/>
          <w:sz w:val="24"/>
          <w:szCs w:val="24"/>
        </w:rPr>
      </w:pPr>
    </w:p>
    <w:p w:rsidR="002D41F3" w:rsidRDefault="008B497E">
      <w:pPr>
        <w:rPr>
          <w:rFonts w:cstheme="minorHAnsi"/>
          <w:sz w:val="24"/>
          <w:szCs w:val="24"/>
        </w:rPr>
      </w:pPr>
      <w:r w:rsidRPr="008B497E">
        <w:rPr>
          <w:rFonts w:cstheme="minorHAnsi"/>
          <w:sz w:val="24"/>
          <w:szCs w:val="24"/>
        </w:rPr>
        <w:t>* Please use Form SH 14 and Form ISR 3 for cancellation of the existing nomination</w:t>
      </w:r>
    </w:p>
    <w:p w:rsidR="008B497E" w:rsidRPr="008B497E" w:rsidRDefault="008B497E" w:rsidP="008B497E">
      <w:pPr>
        <w:jc w:val="both"/>
        <w:rPr>
          <w:rFonts w:cstheme="minorHAnsi"/>
          <w:sz w:val="24"/>
          <w:szCs w:val="24"/>
        </w:rPr>
      </w:pPr>
      <w:r w:rsidRPr="008B497E">
        <w:rPr>
          <w:rFonts w:cstheme="minorHAnsi"/>
          <w:color w:val="333333"/>
          <w:sz w:val="24"/>
          <w:szCs w:val="24"/>
          <w:shd w:val="clear" w:color="auto" w:fill="FFFFFF"/>
        </w:rPr>
        <w:t xml:space="preserve">Members holding shares in electronic (DEMAT) form are requested to verify and update immediately any change in their address or bank mandates etc. to their respective Depository Participants with whom they are maintaining their </w:t>
      </w:r>
      <w:proofErr w:type="spellStart"/>
      <w:r w:rsidRPr="008B497E">
        <w:rPr>
          <w:rFonts w:cstheme="minorHAnsi"/>
          <w:color w:val="333333"/>
          <w:sz w:val="24"/>
          <w:szCs w:val="24"/>
          <w:shd w:val="clear" w:color="auto" w:fill="FFFFFF"/>
        </w:rPr>
        <w:t>demat</w:t>
      </w:r>
      <w:proofErr w:type="spellEnd"/>
      <w:r w:rsidRPr="008B497E">
        <w:rPr>
          <w:rFonts w:cstheme="minorHAnsi"/>
          <w:color w:val="333333"/>
          <w:sz w:val="24"/>
          <w:szCs w:val="24"/>
          <w:shd w:val="clear" w:color="auto" w:fill="FFFFFF"/>
        </w:rPr>
        <w:t xml:space="preserve"> accounts.</w:t>
      </w:r>
    </w:p>
    <w:sectPr w:rsidR="008B497E" w:rsidRPr="008B497E" w:rsidSect="008B497E">
      <w:pgSz w:w="12240" w:h="15840"/>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B9"/>
    <w:rsid w:val="002D41F3"/>
    <w:rsid w:val="008B497E"/>
    <w:rsid w:val="00AC4BB9"/>
    <w:rsid w:val="00E5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664C"/>
  <w15:chartTrackingRefBased/>
  <w15:docId w15:val="{E1D1A67B-965C-4A47-8E4E-251C0507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49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97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B497E"/>
    <w:rPr>
      <w:b/>
      <w:bCs/>
    </w:rPr>
  </w:style>
  <w:style w:type="table" w:styleId="TableGrid">
    <w:name w:val="Table Grid"/>
    <w:basedOn w:val="TableNormal"/>
    <w:uiPriority w:val="39"/>
    <w:rsid w:val="008B4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227257">
      <w:bodyDiv w:val="1"/>
      <w:marLeft w:val="0"/>
      <w:marRight w:val="0"/>
      <w:marTop w:val="0"/>
      <w:marBottom w:val="0"/>
      <w:divBdr>
        <w:top w:val="none" w:sz="0" w:space="0" w:color="auto"/>
        <w:left w:val="none" w:sz="0" w:space="0" w:color="auto"/>
        <w:bottom w:val="none" w:sz="0" w:space="0" w:color="auto"/>
        <w:right w:val="none" w:sz="0" w:space="0" w:color="auto"/>
      </w:divBdr>
      <w:divsChild>
        <w:div w:id="1863205006">
          <w:marLeft w:val="0"/>
          <w:marRight w:val="0"/>
          <w:marTop w:val="0"/>
          <w:marBottom w:val="0"/>
          <w:divBdr>
            <w:top w:val="none" w:sz="0" w:space="0" w:color="auto"/>
            <w:left w:val="none" w:sz="0" w:space="0" w:color="auto"/>
            <w:bottom w:val="none" w:sz="0" w:space="0" w:color="auto"/>
            <w:right w:val="none" w:sz="0" w:space="0" w:color="auto"/>
          </w:divBdr>
        </w:div>
        <w:div w:id="1460877379">
          <w:marLeft w:val="0"/>
          <w:marRight w:val="0"/>
          <w:marTop w:val="0"/>
          <w:marBottom w:val="0"/>
          <w:divBdr>
            <w:top w:val="none" w:sz="0" w:space="0" w:color="auto"/>
            <w:left w:val="none" w:sz="0" w:space="0" w:color="auto"/>
            <w:bottom w:val="none" w:sz="0" w:space="0" w:color="auto"/>
            <w:right w:val="none" w:sz="0" w:space="0" w:color="auto"/>
          </w:divBdr>
          <w:divsChild>
            <w:div w:id="875894862">
              <w:marLeft w:val="0"/>
              <w:marRight w:val="0"/>
              <w:marTop w:val="0"/>
              <w:marBottom w:val="0"/>
              <w:divBdr>
                <w:top w:val="none" w:sz="0" w:space="0" w:color="auto"/>
                <w:left w:val="none" w:sz="0" w:space="0" w:color="auto"/>
                <w:bottom w:val="none" w:sz="0" w:space="0" w:color="auto"/>
                <w:right w:val="none" w:sz="0" w:space="0" w:color="auto"/>
              </w:divBdr>
            </w:div>
            <w:div w:id="2066685587">
              <w:marLeft w:val="0"/>
              <w:marRight w:val="0"/>
              <w:marTop w:val="0"/>
              <w:marBottom w:val="0"/>
              <w:divBdr>
                <w:top w:val="none" w:sz="0" w:space="0" w:color="auto"/>
                <w:left w:val="none" w:sz="0" w:space="0" w:color="auto"/>
                <w:bottom w:val="none" w:sz="0" w:space="0" w:color="auto"/>
                <w:right w:val="none" w:sz="0" w:space="0" w:color="auto"/>
              </w:divBdr>
            </w:div>
            <w:div w:id="237400054">
              <w:marLeft w:val="0"/>
              <w:marRight w:val="0"/>
              <w:marTop w:val="0"/>
              <w:marBottom w:val="0"/>
              <w:divBdr>
                <w:top w:val="none" w:sz="0" w:space="0" w:color="auto"/>
                <w:left w:val="none" w:sz="0" w:space="0" w:color="auto"/>
                <w:bottom w:val="none" w:sz="0" w:space="0" w:color="auto"/>
                <w:right w:val="none" w:sz="0" w:space="0" w:color="auto"/>
              </w:divBdr>
            </w:div>
            <w:div w:id="1601185021">
              <w:marLeft w:val="0"/>
              <w:marRight w:val="0"/>
              <w:marTop w:val="0"/>
              <w:marBottom w:val="0"/>
              <w:divBdr>
                <w:top w:val="none" w:sz="0" w:space="0" w:color="auto"/>
                <w:left w:val="none" w:sz="0" w:space="0" w:color="auto"/>
                <w:bottom w:val="none" w:sz="0" w:space="0" w:color="auto"/>
                <w:right w:val="none" w:sz="0" w:space="0" w:color="auto"/>
              </w:divBdr>
            </w:div>
            <w:div w:id="313532216">
              <w:marLeft w:val="0"/>
              <w:marRight w:val="0"/>
              <w:marTop w:val="0"/>
              <w:marBottom w:val="0"/>
              <w:divBdr>
                <w:top w:val="none" w:sz="0" w:space="0" w:color="auto"/>
                <w:left w:val="none" w:sz="0" w:space="0" w:color="auto"/>
                <w:bottom w:val="none" w:sz="0" w:space="0" w:color="auto"/>
                <w:right w:val="none" w:sz="0" w:space="0" w:color="auto"/>
              </w:divBdr>
            </w:div>
            <w:div w:id="6352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 Chalam</dc:creator>
  <cp:keywords/>
  <dc:description/>
  <cp:lastModifiedBy>Harish Chalam</cp:lastModifiedBy>
  <cp:revision>3</cp:revision>
  <dcterms:created xsi:type="dcterms:W3CDTF">2022-03-08T10:50:00Z</dcterms:created>
  <dcterms:modified xsi:type="dcterms:W3CDTF">2022-03-08T11:06:00Z</dcterms:modified>
</cp:coreProperties>
</file>